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CESI宋体-GB2312" w:hAnsi="CESI宋体-GB2312" w:eastAsia="黑体" w:cs="黑体"/>
          <w:sz w:val="32"/>
          <w:szCs w:val="32"/>
          <w:lang w:val="en-US" w:eastAsia="zh-CN"/>
        </w:rPr>
      </w:pPr>
      <w:r>
        <w:rPr>
          <w:rFonts w:hint="eastAsia" w:ascii="CESI宋体-GB2312" w:hAnsi="CESI宋体-GB2312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宋体-GB2312" w:hAnsi="CESI宋体-GB2312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宋体-GB2312" w:hAnsi="CESI宋体-GB2312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b w:val="0"/>
          <w:bCs w:val="0"/>
          <w:color w:val="auto"/>
          <w:spacing w:val="-11"/>
          <w:sz w:val="44"/>
          <w:szCs w:val="44"/>
          <w:highlight w:val="none"/>
          <w:u w:val="none"/>
          <w:lang w:val="en-US" w:eastAsia="zh-CN"/>
        </w:rPr>
        <w:t>贵州省</w:t>
      </w:r>
      <w:r>
        <w:rPr>
          <w:rFonts w:ascii="CESI宋体-GB2312" w:hAnsi="CESI宋体-GB2312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城乡自建房用作生产经营场所禁止目录</w:t>
      </w:r>
    </w:p>
    <w:tbl>
      <w:tblPr>
        <w:tblStyle w:val="6"/>
        <w:tblpPr w:leftFromText="180" w:rightFromText="180" w:vertAnchor="text" w:horzAnchor="page" w:tblpXSpec="center" w:tblpY="41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30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  <w:t>禁止内容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CESI宋体-GB2312" w:hAnsi="CESI宋体-GB2312" w:eastAsia="黑体" w:cs="Times New Roman"/>
                <w:color w:val="auto"/>
                <w:sz w:val="28"/>
                <w:szCs w:val="28"/>
                <w:shd w:val="clear" w:color="auto" w:fill="FFFFFF"/>
              </w:rPr>
              <w:t>依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生产、储存、经营易燃易爆危险品的场所不得与居住场所设置在同一建筑物内，并应当与居住场所保持安全距离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《中华人民共和国消防法》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禁止在许可证载明的场所外从事烟花爆竹生产、经营、储存活动。烟花爆竹零售点不得与居民居住场所设置在同一建筑物内。零售场所的面积不小于10平方米，其周边50米范围内没有其他烟花爆竹零售点，并与学校、幼儿园、医院、集贸市场等人员密集场所和加油站等易燃易爆物品生产、储存设施等重点建筑物保持100米以上的安全距离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《烟花爆竹安全管理条例》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《烟花爆竹生产经营安全规定》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FFFFFF"/>
              </w:rPr>
              <w:t>《烟花爆竹经营许可实施办法》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中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学、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小学校园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周围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200米范围内和居民住宅楼（院）内不得设立互联网上网服务营业场所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。居民住宅区、</w:t>
            </w:r>
            <w:r>
              <w:rPr>
                <w:rFonts w:hint="eastAsia"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学校、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医院周围、建筑物地下一层以下（不含地下一层）、与危险化学品仓库毗连的区域不得设立娱乐场所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《中华人民共和国未成年人保护法》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《娱乐场所管理条例》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《互联网上网服务营业场所管理条例》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医疗器械经营企业的经营场所和库房不得设在居民住宅内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、军事管理区（不含可租赁区）</w:t>
            </w: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以及其他不适合经营的场所。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  <w:t>《医疗器械经营质量管理规范》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6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CESI宋体-GB2312" w:hAnsi="CESI宋体-GB2312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禁止在用于租住的自建房内设置采用易燃可燃保温材料的冷库。</w:t>
            </w:r>
          </w:p>
        </w:tc>
        <w:tc>
          <w:tcPr>
            <w:tcW w:w="2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23" w:type="dxa"/>
              <w:left w:w="43" w:type="dxa"/>
              <w:bottom w:w="38" w:type="dxa"/>
              <w:right w:w="43" w:type="dxa"/>
            </w:tcMar>
            <w:vAlign w:val="center"/>
          </w:tcPr>
          <w:p>
            <w:pPr>
              <w:rPr>
                <w:rFonts w:hint="eastAsia" w:eastAsia="宋体"/>
                <w:lang w:val="en" w:eastAsia="zh-CN"/>
              </w:rPr>
            </w:pPr>
            <w:r>
              <w:rPr>
                <w:rFonts w:ascii="CESI宋体-GB2312" w:hAnsi="CESI宋体-GB2312" w:eastAsia="仿宋_GB2312" w:cs="Times New Roman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  <w:t>《中华人民共和国消防法》</w:t>
            </w:r>
            <w:r>
              <w:rPr>
                <w:rFonts w:hint="eastAsia" w:ascii="CESI宋体-GB2312" w:hAnsi="CESI宋体-GB2312" w:eastAsia="仿宋_GB2312" w:cs="Times New Roman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  <w:t>以及国务院安委会办公室有关规定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8" w:lineRule="exact"/>
        <w:jc w:val="both"/>
        <w:textAlignment w:val="auto"/>
        <w:rPr>
          <w:rFonts w:hint="eastAsia" w:ascii="CESI宋体-GB2312" w:hAnsi="CESI宋体-GB2312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5" w:type="default"/>
          <w:pgSz w:w="11849" w:h="16781"/>
          <w:pgMar w:top="2098" w:right="1474" w:bottom="1984" w:left="1587" w:header="851" w:footer="1701" w:gutter="0"/>
          <w:cols w:space="720" w:num="1"/>
          <w:rtlGutter w:val="1"/>
          <w:docGrid w:type="lines" w:linePitch="31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script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ind w:right="315" w:rightChars="150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5415" cy="13335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389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0.5pt;width:11.4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vQb7h1QAAAAMBAAAPAAAAAAAAAAEAIAAAADgAAABkcnMvZG93&#10;bnJldi54bWxQSwECFAAUAAAACACHTuJAHZuZMe0BAACvAwAADgAAAAAAAAABACAAAAA6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EF8F"/>
    <w:rsid w:val="1F7FB6F3"/>
    <w:rsid w:val="3FFEE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Arial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Arial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2XBS 标题"/>
    <w:basedOn w:val="1"/>
    <w:next w:val="8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center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en-US" w:eastAsia="zh-CN"/>
    </w:rPr>
  </w:style>
  <w:style w:type="paragraph" w:customStyle="1" w:styleId="10">
    <w:name w:val="[系统文字]"/>
    <w:basedOn w:val="1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2023-08-17T10:00:00Z</dcterms:created>
  <dc:creator>bgt</dc:creator>
  <cp:lastModifiedBy>bgt</cp:lastModifiedBy>
  <dcterms:modified xsi:type="dcterms:W3CDTF">2023-08-17T10:14:06Z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